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72AD" w14:textId="36AF6E54" w:rsidR="005E783A" w:rsidRPr="005E783A" w:rsidRDefault="005E783A" w:rsidP="005E783A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</w:pPr>
      <w:proofErr w:type="spellStart"/>
      <w:r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>Optimalkan</w:t>
      </w:r>
      <w:proofErr w:type="spellEnd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b/>
          <w:bCs/>
          <w:color w:val="720800"/>
          <w:kern w:val="36"/>
          <w:sz w:val="63"/>
          <w:szCs w:val="63"/>
          <w:lang w:eastAsia="en-ID"/>
        </w:rPr>
        <w:t xml:space="preserve"> Syariah</w:t>
      </w:r>
    </w:p>
    <w:p w14:paraId="7C2E4C10" w14:textId="1512C4B1" w:rsidR="005E783A" w:rsidRPr="005E783A" w:rsidRDefault="005E783A" w:rsidP="005E783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ID"/>
        </w:rPr>
      </w:pPr>
    </w:p>
    <w:p w14:paraId="1837081F" w14:textId="0D798D14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Sebagai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negara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penduduk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muslim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di dunia, Indonesia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memiliki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potensi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produsen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dunia.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Namun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potensi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tersebut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belum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dimanfaatkan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secara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optimal.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berupaya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mendorong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0B25E108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123F4769" w14:textId="3804BDA6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Jangankan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sebagai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produsen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pemain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global,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memenuhi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kebutuhan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makanan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domestik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saja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kita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masih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harus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impor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Contohnya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pada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tahun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2018, Indonesia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membelanjakan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173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miliar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dolar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AS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atau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12,6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persen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pangsa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pasar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produk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makanan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dunia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sekaligus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konsumen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dibanding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negara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mayoritas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muslim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lainnya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Oleh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karena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mendorong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ungkap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Wakil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Presiden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(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)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Ma’ruf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Amin </w:t>
      </w:r>
      <w:proofErr w:type="gram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pada  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Konferensi</w:t>
      </w:r>
      <w:proofErr w:type="spellEnd"/>
      <w:proofErr w:type="gram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Bisnis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Islam Nusantara, Universitas Islam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Nahdlatul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Ulama (UNISNU)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Jepara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secara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virtual, Rabu (28/07/2021).</w:t>
      </w:r>
    </w:p>
    <w:p w14:paraId="28EC54AF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20A338D3" w14:textId="71E8A519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Dalam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acara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bertajuk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 </w:t>
      </w:r>
      <w:r w:rsidRPr="005E783A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Mengoptimalkan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Syariah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dalam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Pembangunan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Berkelanjutan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Riil</w:t>
      </w:r>
      <w:proofErr w:type="spellEnd"/>
      <w:r w:rsidRPr="005E783A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ID"/>
        </w:rPr>
        <w:t>” 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tersebut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memaparkan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strategi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tantangan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mengembangkan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berfokus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pada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empat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bidang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0512A9B2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30C7BA8A" w14:textId="7E3972F6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D"/>
        </w:rPr>
        <w:t>Pertama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halal. Hal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dilakukan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membentuk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kawasan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maupun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zona-zona halal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dalam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kawasan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7CFC30CA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794C0956" w14:textId="6DA520A8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Pembentukan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kawasan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maupun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zona-zona halal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dalam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kawasan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salah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langkah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strategis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sudah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dikembangkan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ditetapkan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tiga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kawasan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yaitu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Modern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lastRenderedPageBreak/>
        <w:t>Cikande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Industrial Estate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Serang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Banten, SAFE ‘n’ LOCK Halal Industrial Park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Sidoarjo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Jawa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Timur,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Bintan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Inti Halal Hub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Bintan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Kepulauan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Riau,”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jelas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72E2B4A8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750F13D6" w14:textId="1F2F722E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Dalam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menyatakan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mengedepankan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kebijakan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berpihak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kepada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mikro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kecil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menengah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7A3C12AB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5E78F2A6" w14:textId="55FF9597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Seperti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penyederhanaan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perizinan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pembinaan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program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kemitraan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kecil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serta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fasilitasi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sertifikasi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sesuai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standar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BPJPH [Badan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Penyelenggara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Jaminan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Program Halal] dan fatwa MUI [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Majelis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Ulama Indonesia]”,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ujarnya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491AAB6E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6101B886" w14:textId="29E68413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samping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strategi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dimaksud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lanjut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memerlukan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perencanaan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data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statistik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baik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0B65A88B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1A10CDF0" w14:textId="1A2AC4C8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Tantangan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adalah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belum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tercatatnya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data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produksi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ataupun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nilai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perdagangan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produk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Indonesia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melalui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sebuah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sistem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informasi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manajemen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terintegrasi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Hal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harus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dimulai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membangun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ketertelusuran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 </w:t>
      </w:r>
      <w:r w:rsidRPr="005E783A">
        <w:rPr>
          <w:rFonts w:ascii="Helvetica" w:eastAsia="Times New Roman" w:hAnsi="Helvetica" w:cs="Helvetica"/>
          <w:i/>
          <w:iCs/>
          <w:color w:val="000000"/>
          <w:sz w:val="27"/>
          <w:szCs w:val="27"/>
          <w:lang w:eastAsia="en-ID"/>
        </w:rPr>
        <w:t>(traceability)</w:t>
      </w: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 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produk-produk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halal Indonesia,”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sambungnya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75CBE393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11B94130" w14:textId="010658E5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D"/>
        </w:rPr>
        <w:t>Kedua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membangun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sistem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tangguh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modern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sebagai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penopang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industri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perdagangan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Dalam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skala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tambah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langkah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diambil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adalah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menggabungkan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tiga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bank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milik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Badan Usaha Milik Negara (BUMN),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yaitu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Bank Syariah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Mandiri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BRI Syariah, dan BNI Syariah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Bank Syariah Indonesia (BSI).</w:t>
      </w:r>
    </w:p>
    <w:p w14:paraId="6B8CF89E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0B068F7B" w14:textId="464BED8A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“BSI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diharapkan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tidak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hanya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menjangkau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menengah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tetapi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juga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kecil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mikro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ultramikro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ujar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69E493C8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15BB0846" w14:textId="3EA9EFCB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lastRenderedPageBreak/>
        <w:t>Seiring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langkah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strategis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tersebut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juga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mendorong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lembaga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berskala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kecil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7C90F233" w14:textId="77777777" w:rsidR="005E783A" w:rsidRPr="005E783A" w:rsidRDefault="005E783A" w:rsidP="005E783A">
      <w:pPr>
        <w:pStyle w:val="Heading1"/>
      </w:pPr>
    </w:p>
    <w:p w14:paraId="43392DD0" w14:textId="6EBF7018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juga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ingin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memperbanyak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pendirian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Bank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Mikro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(BWM), Baitul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Maal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Tamwil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(BMT), Lembaga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Mikro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Syariah (LKMS),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koperasi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termasuk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dukungan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tuturnya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413C3AD6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039F49E0" w14:textId="0E72B5B4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D"/>
        </w:rPr>
        <w:t>Ketiga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sosial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salah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satunya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diupayakan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transformasi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61B16D6A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10E1CA87" w14:textId="545F9816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“Kita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lebih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akrab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sedekah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infak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donasi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umum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lebih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praktis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bahkan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kalau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pun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baru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masjid, madrasah,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kuburan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Saya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berharap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pada era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kekinian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aset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bisa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berupa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aset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bergerak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seperti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saham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surat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berharga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deposito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bahkan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dana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disimpan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rekening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Selama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aset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pokoknya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tidak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berkurang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dibagikan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adalah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hasil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,” kata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725A54C3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412360B4" w14:textId="58C2DE3A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bersama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Badan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Indonesia (BWI)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Komite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Nasional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Syariah (KNEKS) 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berupaya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melakukan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perbaikan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terhadap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tata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kelola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lembaga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agar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dapat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dipercaya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masyarakat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karena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bersifat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abadi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umat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46D42A17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0541B40F" w14:textId="67AAC918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“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Tugas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bersama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BWI dan KNEKS,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mendorong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memastikan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perbaikan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tata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kelola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lembaga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agar dana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dihimpun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memenuhi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kaidah-kaidah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tidak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disalahgunakan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karena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wakaf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tersebut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bersifat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abadi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umat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jumlah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pokoknya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tidak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boleh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berkurang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tetapi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manfaatnya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berkembang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tegas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1DF19A8D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44A54EAF" w14:textId="5557CBBF" w:rsid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proofErr w:type="spellStart"/>
      <w:r w:rsidRPr="005E783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D"/>
        </w:rPr>
        <w:t>Keempat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, 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perluasan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kegiatan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Hal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merupakan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strategi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penting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untuk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meningkatkan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umat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Salah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satu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upaya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dijalankan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pemerintah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adalah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membangun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pusat-pusat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inkubasi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pusat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bisnis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berbagai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daerah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</w:t>
      </w:r>
    </w:p>
    <w:p w14:paraId="24302FE9" w14:textId="77777777" w:rsidR="005E783A" w:rsidRPr="005E783A" w:rsidRDefault="005E783A" w:rsidP="005E783A">
      <w:pPr>
        <w:shd w:val="clear" w:color="auto" w:fill="FFFFFF"/>
        <w:spacing w:after="30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</w:p>
    <w:p w14:paraId="14C86200" w14:textId="77777777" w:rsidR="005E783A" w:rsidRPr="005E783A" w:rsidRDefault="005E783A" w:rsidP="005E783A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</w:pPr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“Langkah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penting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harus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dilakukan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adalah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menyiapkan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para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berbasis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melalui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inkubasi-inkubasi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di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berbagai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daerah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.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Selain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itu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 program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pengembangan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ekonomi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dan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keuangan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syariah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juga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melakukan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upaya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pemberdayaan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terhadap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para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pengusaha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yang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sudah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ada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agar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dapat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tumbuh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menjadi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lebih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besar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,”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pungkas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 xml:space="preserve"> </w:t>
      </w:r>
      <w:proofErr w:type="spellStart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Wapres</w:t>
      </w:r>
      <w:proofErr w:type="spellEnd"/>
      <w:r w:rsidRPr="005E783A">
        <w:rPr>
          <w:rFonts w:ascii="Helvetica" w:eastAsia="Times New Roman" w:hAnsi="Helvetica" w:cs="Helvetica"/>
          <w:color w:val="000000"/>
          <w:sz w:val="27"/>
          <w:szCs w:val="27"/>
          <w:lang w:eastAsia="en-ID"/>
        </w:rPr>
        <w:t>. </w:t>
      </w:r>
      <w:r w:rsidRPr="005E783A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en-ID"/>
        </w:rPr>
        <w:t>(BPMI SETWAPRES/UN)</w:t>
      </w:r>
    </w:p>
    <w:p w14:paraId="56FCA512" w14:textId="77777777" w:rsidR="00FB3D5A" w:rsidRPr="00F973EE" w:rsidRDefault="00FB3D5A" w:rsidP="00F973EE"/>
    <w:sectPr w:rsidR="00FB3D5A" w:rsidRPr="00F97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EE"/>
    <w:rsid w:val="00426213"/>
    <w:rsid w:val="005E783A"/>
    <w:rsid w:val="00F973EE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9C99"/>
  <w15:chartTrackingRefBased/>
  <w15:docId w15:val="{1FC7A04B-B326-424F-AC21-67478881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7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3EE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customStyle="1" w:styleId="wp-caption-text">
    <w:name w:val="wp-caption-text"/>
    <w:basedOn w:val="Normal"/>
    <w:rsid w:val="00F9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F9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F973EE"/>
    <w:rPr>
      <w:i/>
      <w:iCs/>
    </w:rPr>
  </w:style>
  <w:style w:type="character" w:styleId="Strong">
    <w:name w:val="Strong"/>
    <w:basedOn w:val="DefaultParagraphFont"/>
    <w:uiPriority w:val="22"/>
    <w:qFormat/>
    <w:rsid w:val="00F97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2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86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003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60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88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12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45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676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303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734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70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746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Antonius Natan</dc:creator>
  <cp:keywords/>
  <dc:description/>
  <cp:lastModifiedBy>Dr. Antonius Natan</cp:lastModifiedBy>
  <cp:revision>1</cp:revision>
  <dcterms:created xsi:type="dcterms:W3CDTF">2021-07-29T01:01:00Z</dcterms:created>
  <dcterms:modified xsi:type="dcterms:W3CDTF">2021-07-29T01:22:00Z</dcterms:modified>
</cp:coreProperties>
</file>